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7DCF" w14:textId="77777777" w:rsidR="009A76CD" w:rsidRDefault="009A76CD" w:rsidP="009A76CD">
      <w:pPr>
        <w:pStyle w:val="bo"/>
        <w:shd w:val="clear" w:color="auto" w:fill="FFFFFF"/>
        <w:spacing w:before="0" w:beforeAutospacing="0" w:after="160" w:afterAutospacing="0" w:line="214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bm"/>
          <w:rFonts w:ascii="Calibri" w:hAnsi="Calibri" w:cs="Calibri"/>
          <w:color w:val="212721"/>
          <w:sz w:val="22"/>
          <w:szCs w:val="22"/>
        </w:rPr>
        <w:t>LEI: 213800XJIPNDVKXMOC11</w:t>
      </w:r>
    </w:p>
    <w:p w14:paraId="101F433F" w14:textId="2687755E" w:rsidR="009A76CD" w:rsidRDefault="00A470B2" w:rsidP="009A76CD">
      <w:pPr>
        <w:pStyle w:val="bs"/>
        <w:shd w:val="clear" w:color="auto" w:fill="FFFFFF"/>
        <w:spacing w:before="0" w:beforeAutospacing="0" w:after="220" w:afterAutospacing="0" w:line="253" w:lineRule="atLeast"/>
        <w:rPr>
          <w:rStyle w:val="bt"/>
          <w:color w:val="212721"/>
        </w:rPr>
      </w:pPr>
      <w:r>
        <w:rPr>
          <w:rStyle w:val="bt"/>
          <w:rFonts w:ascii="Calibri" w:hAnsi="Calibri" w:cs="Calibri"/>
          <w:color w:val="212721"/>
          <w:sz w:val="22"/>
          <w:szCs w:val="22"/>
        </w:rPr>
        <w:t>28</w:t>
      </w:r>
      <w:r w:rsidR="009A76CD">
        <w:rPr>
          <w:rStyle w:val="bt"/>
          <w:rFonts w:ascii="Calibri" w:hAnsi="Calibri" w:cs="Calibri"/>
          <w:color w:val="212721"/>
          <w:sz w:val="22"/>
          <w:szCs w:val="22"/>
        </w:rPr>
        <w:t xml:space="preserve"> March 2024</w:t>
      </w:r>
    </w:p>
    <w:p w14:paraId="1A638196" w14:textId="77777777" w:rsidR="009A76CD" w:rsidRDefault="009A76CD" w:rsidP="009A76CD">
      <w:pPr>
        <w:pStyle w:val="bs"/>
        <w:shd w:val="clear" w:color="auto" w:fill="FFFFFF"/>
        <w:spacing w:before="0" w:beforeAutospacing="0" w:after="220" w:afterAutospacing="0" w:line="253" w:lineRule="atLeast"/>
        <w:jc w:val="center"/>
      </w:pPr>
      <w:r>
        <w:rPr>
          <w:rStyle w:val="bt"/>
          <w:rFonts w:ascii="Calibri" w:hAnsi="Calibri" w:cs="Calibri"/>
          <w:b/>
          <w:bCs/>
          <w:color w:val="212721"/>
          <w:sz w:val="22"/>
          <w:szCs w:val="22"/>
        </w:rPr>
        <w:t>Hipgnosis Songs Fund Limited ("Hipgnosis" or the "Company")</w:t>
      </w:r>
    </w:p>
    <w:p w14:paraId="1C3B66D2" w14:textId="749393C6" w:rsidR="009A76CD" w:rsidRPr="001D59F1" w:rsidRDefault="00990DDB" w:rsidP="005748C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Final Due Diligence Findings</w:t>
      </w:r>
    </w:p>
    <w:p w14:paraId="3AA6584F" w14:textId="689FAD1D" w:rsidR="008E2C26" w:rsidRDefault="009A76CD" w:rsidP="009A76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Board of Hipgnosis Songs Fund today provides an update on the </w:t>
      </w:r>
      <w:r w:rsidR="00A26197">
        <w:rPr>
          <w:rFonts w:ascii="Calibri" w:hAnsi="Calibri" w:cs="Calibri"/>
        </w:rPr>
        <w:t>findings</w:t>
      </w:r>
      <w:r>
        <w:rPr>
          <w:rFonts w:ascii="Calibri" w:hAnsi="Calibri" w:cs="Calibri"/>
        </w:rPr>
        <w:t xml:space="preserve"> of</w:t>
      </w:r>
      <w:r w:rsidR="00A26197">
        <w:rPr>
          <w:rFonts w:ascii="Calibri" w:hAnsi="Calibri" w:cs="Calibri"/>
        </w:rPr>
        <w:t xml:space="preserve"> the due diligence that has been conducted on the Company’s assets as part of</w:t>
      </w:r>
      <w:r>
        <w:rPr>
          <w:rFonts w:ascii="Calibri" w:hAnsi="Calibri" w:cs="Calibri"/>
        </w:rPr>
        <w:t xml:space="preserve"> the </w:t>
      </w:r>
      <w:r w:rsidR="00DF176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trategic </w:t>
      </w:r>
      <w:r w:rsidR="00DF1769">
        <w:rPr>
          <w:rFonts w:ascii="Calibri" w:hAnsi="Calibri" w:cs="Calibri"/>
        </w:rPr>
        <w:t>R</w:t>
      </w:r>
      <w:r>
        <w:rPr>
          <w:rFonts w:ascii="Calibri" w:hAnsi="Calibri" w:cs="Calibri"/>
        </w:rPr>
        <w:t>eview</w:t>
      </w:r>
      <w:r w:rsidR="00DF1769">
        <w:rPr>
          <w:rFonts w:ascii="Calibri" w:hAnsi="Calibri" w:cs="Calibri"/>
        </w:rPr>
        <w:t>.</w:t>
      </w:r>
    </w:p>
    <w:p w14:paraId="3E073BB7" w14:textId="6A54AB74" w:rsidR="008E2C26" w:rsidRDefault="008E2C26" w:rsidP="00DF1769">
      <w:pPr>
        <w:jc w:val="both"/>
        <w:rPr>
          <w:rFonts w:ascii="Calibri" w:hAnsi="Calibri" w:cs="Calibri"/>
        </w:rPr>
      </w:pPr>
      <w:r w:rsidRPr="008E2C26">
        <w:rPr>
          <w:rFonts w:ascii="Calibri" w:hAnsi="Calibri" w:cs="Calibri"/>
        </w:rPr>
        <w:t>The Board appointed Shot Tower Capital, LLC ("</w:t>
      </w:r>
      <w:r w:rsidRPr="008E2C26">
        <w:rPr>
          <w:rFonts w:ascii="Calibri" w:hAnsi="Calibri" w:cs="Calibri"/>
          <w:b/>
          <w:bCs/>
        </w:rPr>
        <w:t>Shot Tower</w:t>
      </w:r>
      <w:r w:rsidRPr="008E2C26">
        <w:rPr>
          <w:rFonts w:ascii="Calibri" w:hAnsi="Calibri" w:cs="Calibri"/>
        </w:rPr>
        <w:t>") as lead adviser to provide an independent valuation of the Company's assets.</w:t>
      </w:r>
      <w:bookmarkStart w:id="0" w:name="_Hlk162264024"/>
      <w:r>
        <w:rPr>
          <w:rFonts w:ascii="Calibri" w:hAnsi="Calibri" w:cs="Calibri"/>
        </w:rPr>
        <w:t xml:space="preserve"> On 4 March 2024, the Company announced that Shot Tower had p</w:t>
      </w:r>
      <w:r w:rsidRPr="00481369">
        <w:rPr>
          <w:rFonts w:ascii="Calibri" w:hAnsi="Calibri" w:cs="Calibri"/>
        </w:rPr>
        <w:t>rovided the Board with the preliminary valuation report</w:t>
      </w:r>
      <w:r w:rsidR="0019523D">
        <w:rPr>
          <w:rFonts w:ascii="Calibri" w:hAnsi="Calibri" w:cs="Calibri"/>
        </w:rPr>
        <w:t>,</w:t>
      </w:r>
      <w:r w:rsidRPr="00481369">
        <w:rPr>
          <w:rFonts w:ascii="Calibri" w:hAnsi="Calibri" w:cs="Calibri"/>
        </w:rPr>
        <w:t xml:space="preserve"> as </w:t>
      </w:r>
      <w:proofErr w:type="gramStart"/>
      <w:r w:rsidRPr="00481369">
        <w:rPr>
          <w:rFonts w:ascii="Calibri" w:hAnsi="Calibri" w:cs="Calibri"/>
        </w:rPr>
        <w:t>at</w:t>
      </w:r>
      <w:proofErr w:type="gramEnd"/>
      <w:r w:rsidRPr="00481369">
        <w:rPr>
          <w:rFonts w:ascii="Calibri" w:hAnsi="Calibri" w:cs="Calibri"/>
        </w:rPr>
        <w:t xml:space="preserve"> 1 March 2024, which estimate</w:t>
      </w:r>
      <w:r w:rsidR="009922D6">
        <w:rPr>
          <w:rFonts w:ascii="Calibri" w:hAnsi="Calibri" w:cs="Calibri"/>
        </w:rPr>
        <w:t xml:space="preserve">d </w:t>
      </w:r>
      <w:r w:rsidRPr="00481369">
        <w:rPr>
          <w:rFonts w:ascii="Calibri" w:hAnsi="Calibri" w:cs="Calibri"/>
        </w:rPr>
        <w:t>the fair market value of the Company's Portfolio at between $1.80 billion and $2.06 billion</w:t>
      </w:r>
      <w:r>
        <w:rPr>
          <w:rFonts w:ascii="Calibri" w:hAnsi="Calibri" w:cs="Calibri"/>
        </w:rPr>
        <w:t xml:space="preserve">. </w:t>
      </w:r>
    </w:p>
    <w:p w14:paraId="30AE8B52" w14:textId="5A4D6A7F" w:rsidR="00275EDB" w:rsidRDefault="00990DDB" w:rsidP="00DF17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Board has since received Shot Tower’s final valuation report, which confirms </w:t>
      </w:r>
      <w:r w:rsidR="00DF1769">
        <w:rPr>
          <w:rFonts w:ascii="Calibri" w:hAnsi="Calibri" w:cs="Calibri"/>
        </w:rPr>
        <w:t>that</w:t>
      </w:r>
      <w:r w:rsidR="0019523D">
        <w:rPr>
          <w:rFonts w:ascii="Calibri" w:hAnsi="Calibri" w:cs="Calibri"/>
        </w:rPr>
        <w:t>,</w:t>
      </w:r>
      <w:r w:rsidR="00DF17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based on their due diligence and analysis, </w:t>
      </w:r>
      <w:r w:rsidR="00DF1769">
        <w:rPr>
          <w:rFonts w:ascii="Calibri" w:hAnsi="Calibri" w:cs="Calibri"/>
        </w:rPr>
        <w:t>the</w:t>
      </w:r>
      <w:r w:rsidR="00C336F3" w:rsidRPr="00C336F3">
        <w:rPr>
          <w:rFonts w:ascii="Calibri" w:hAnsi="Calibri" w:cs="Calibri"/>
        </w:rPr>
        <w:t xml:space="preserve"> </w:t>
      </w:r>
      <w:r w:rsidR="00DF1769">
        <w:rPr>
          <w:rFonts w:ascii="Calibri" w:hAnsi="Calibri" w:cs="Calibri"/>
        </w:rPr>
        <w:t>fair market value</w:t>
      </w:r>
      <w:r w:rsidR="00C336F3" w:rsidRPr="00C336F3">
        <w:rPr>
          <w:rFonts w:ascii="Calibri" w:hAnsi="Calibri" w:cs="Calibri"/>
        </w:rPr>
        <w:t xml:space="preserve"> of the </w:t>
      </w:r>
      <w:r w:rsidR="00C336F3">
        <w:rPr>
          <w:rFonts w:ascii="Calibri" w:hAnsi="Calibri" w:cs="Calibri"/>
        </w:rPr>
        <w:t>Company’s</w:t>
      </w:r>
      <w:r w:rsidR="00C336F3" w:rsidRPr="00C336F3">
        <w:rPr>
          <w:rFonts w:ascii="Calibri" w:hAnsi="Calibri" w:cs="Calibri"/>
        </w:rPr>
        <w:t xml:space="preserve"> </w:t>
      </w:r>
      <w:r w:rsidR="00C336F3">
        <w:rPr>
          <w:rFonts w:ascii="Calibri" w:hAnsi="Calibri" w:cs="Calibri"/>
        </w:rPr>
        <w:t xml:space="preserve">portfolio </w:t>
      </w:r>
      <w:r w:rsidR="00C336F3" w:rsidRPr="00C336F3">
        <w:rPr>
          <w:rFonts w:ascii="Calibri" w:hAnsi="Calibri" w:cs="Calibri"/>
        </w:rPr>
        <w:t xml:space="preserve">is </w:t>
      </w:r>
      <w:r w:rsidR="00275EDB" w:rsidRPr="00275EDB">
        <w:rPr>
          <w:rFonts w:ascii="Calibri" w:hAnsi="Calibri" w:cs="Calibri"/>
        </w:rPr>
        <w:t>$1</w:t>
      </w:r>
      <w:r w:rsidR="00B27361">
        <w:rPr>
          <w:rFonts w:ascii="Calibri" w:hAnsi="Calibri" w:cs="Calibri"/>
        </w:rPr>
        <w:t>.</w:t>
      </w:r>
      <w:r w:rsidR="00275EDB" w:rsidRPr="00275EDB">
        <w:rPr>
          <w:rFonts w:ascii="Calibri" w:hAnsi="Calibri" w:cs="Calibri"/>
        </w:rPr>
        <w:t>948</w:t>
      </w:r>
      <w:r w:rsidR="00B27361">
        <w:rPr>
          <w:rFonts w:ascii="Calibri" w:hAnsi="Calibri" w:cs="Calibri"/>
        </w:rPr>
        <w:t xml:space="preserve"> billion</w:t>
      </w:r>
      <w:r w:rsidR="00275EDB" w:rsidRPr="00275EDB">
        <w:rPr>
          <w:rFonts w:ascii="Calibri" w:hAnsi="Calibri" w:cs="Calibri"/>
        </w:rPr>
        <w:t xml:space="preserve">, which represents the midpoint of </w:t>
      </w:r>
      <w:r w:rsidR="00A13B3F">
        <w:rPr>
          <w:rFonts w:ascii="Calibri" w:hAnsi="Calibri" w:cs="Calibri"/>
        </w:rPr>
        <w:t xml:space="preserve">a </w:t>
      </w:r>
      <w:r w:rsidR="00275EDB" w:rsidRPr="00275EDB">
        <w:rPr>
          <w:rFonts w:ascii="Calibri" w:hAnsi="Calibri" w:cs="Calibri"/>
        </w:rPr>
        <w:t>final concluded range of $1.8</w:t>
      </w:r>
      <w:r w:rsidR="005C54C7">
        <w:rPr>
          <w:rFonts w:ascii="Calibri" w:hAnsi="Calibri" w:cs="Calibri"/>
        </w:rPr>
        <w:t>3</w:t>
      </w:r>
      <w:r w:rsidR="00B27361">
        <w:rPr>
          <w:rFonts w:ascii="Calibri" w:hAnsi="Calibri" w:cs="Calibri"/>
        </w:rPr>
        <w:t xml:space="preserve"> billion</w:t>
      </w:r>
      <w:r w:rsidR="00275EDB" w:rsidRPr="00275EDB">
        <w:rPr>
          <w:rFonts w:ascii="Calibri" w:hAnsi="Calibri" w:cs="Calibri"/>
        </w:rPr>
        <w:t xml:space="preserve"> and $2.0</w:t>
      </w:r>
      <w:r w:rsidR="005C54C7">
        <w:rPr>
          <w:rFonts w:ascii="Calibri" w:hAnsi="Calibri" w:cs="Calibri"/>
        </w:rPr>
        <w:t>7</w:t>
      </w:r>
      <w:r w:rsidR="00275EDB" w:rsidRPr="00275EDB">
        <w:rPr>
          <w:rFonts w:ascii="Calibri" w:hAnsi="Calibri" w:cs="Calibri"/>
        </w:rPr>
        <w:t xml:space="preserve"> billion</w:t>
      </w:r>
      <w:r w:rsidR="00572935">
        <w:rPr>
          <w:rFonts w:ascii="Calibri" w:hAnsi="Calibri" w:cs="Calibri"/>
        </w:rPr>
        <w:t xml:space="preserve">. This represents </w:t>
      </w:r>
      <w:r w:rsidR="00C336F3" w:rsidRPr="00C336F3">
        <w:rPr>
          <w:rFonts w:ascii="Calibri" w:hAnsi="Calibri" w:cs="Calibri"/>
        </w:rPr>
        <w:t xml:space="preserve">a multiple </w:t>
      </w:r>
      <w:r w:rsidR="00F76102" w:rsidRPr="00F76102">
        <w:rPr>
          <w:rFonts w:ascii="Calibri" w:hAnsi="Calibri" w:cs="Calibri"/>
        </w:rPr>
        <w:t xml:space="preserve">of trailing </w:t>
      </w:r>
      <w:r w:rsidR="00A13B3F">
        <w:rPr>
          <w:rFonts w:ascii="Calibri" w:hAnsi="Calibri" w:cs="Calibri"/>
        </w:rPr>
        <w:t>12</w:t>
      </w:r>
      <w:r w:rsidR="00F76102" w:rsidRPr="00F76102">
        <w:rPr>
          <w:rFonts w:ascii="Calibri" w:hAnsi="Calibri" w:cs="Calibri"/>
        </w:rPr>
        <w:t xml:space="preserve">-month </w:t>
      </w:r>
      <w:r w:rsidR="00C336F3" w:rsidRPr="00C336F3">
        <w:rPr>
          <w:rFonts w:ascii="Calibri" w:hAnsi="Calibri" w:cs="Calibri"/>
        </w:rPr>
        <w:t xml:space="preserve">net </w:t>
      </w:r>
      <w:r w:rsidR="00B27361">
        <w:rPr>
          <w:rFonts w:ascii="Calibri" w:hAnsi="Calibri" w:cs="Calibri"/>
        </w:rPr>
        <w:t xml:space="preserve">cash </w:t>
      </w:r>
      <w:r w:rsidR="00C336F3" w:rsidRPr="00C336F3">
        <w:rPr>
          <w:rFonts w:ascii="Calibri" w:hAnsi="Calibri" w:cs="Calibri"/>
        </w:rPr>
        <w:t>revenue after royalty and administration costs</w:t>
      </w:r>
      <w:r w:rsidR="00DF1769">
        <w:rPr>
          <w:rFonts w:ascii="Calibri" w:hAnsi="Calibri" w:cs="Calibri"/>
        </w:rPr>
        <w:t xml:space="preserve"> </w:t>
      </w:r>
      <w:r w:rsidR="009A1314">
        <w:rPr>
          <w:rFonts w:ascii="Calibri" w:hAnsi="Calibri" w:cs="Calibri"/>
        </w:rPr>
        <w:t>(</w:t>
      </w:r>
      <w:r w:rsidR="0051512E">
        <w:rPr>
          <w:rFonts w:ascii="Calibri" w:hAnsi="Calibri" w:cs="Calibri"/>
        </w:rPr>
        <w:t xml:space="preserve">$121.7 million) </w:t>
      </w:r>
      <w:r w:rsidR="00DF1769">
        <w:rPr>
          <w:rFonts w:ascii="Calibri" w:hAnsi="Calibri" w:cs="Calibri"/>
        </w:rPr>
        <w:t>of 16.0x</w:t>
      </w:r>
      <w:r w:rsidR="00C336F3" w:rsidRPr="00C336F3">
        <w:rPr>
          <w:rFonts w:ascii="Calibri" w:hAnsi="Calibri" w:cs="Calibri"/>
        </w:rPr>
        <w:t xml:space="preserve"> as of </w:t>
      </w:r>
      <w:r w:rsidR="00572935">
        <w:rPr>
          <w:rFonts w:ascii="Calibri" w:hAnsi="Calibri" w:cs="Calibri"/>
        </w:rPr>
        <w:t>30 June 2023</w:t>
      </w:r>
      <w:r w:rsidR="00DF1769">
        <w:rPr>
          <w:rFonts w:ascii="Calibri" w:hAnsi="Calibri" w:cs="Calibri"/>
        </w:rPr>
        <w:t>.</w:t>
      </w:r>
      <w:r w:rsidR="00A470B2">
        <w:rPr>
          <w:rFonts w:ascii="Calibri" w:hAnsi="Calibri" w:cs="Calibri"/>
        </w:rPr>
        <w:t xml:space="preserve"> </w:t>
      </w:r>
    </w:p>
    <w:p w14:paraId="181CD903" w14:textId="3DE77C2D" w:rsidR="00046F0E" w:rsidRPr="005748C8" w:rsidRDefault="00DF1769" w:rsidP="00541A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summary of the findings of </w:t>
      </w:r>
      <w:r w:rsidR="00541A08">
        <w:rPr>
          <w:rFonts w:ascii="Calibri" w:hAnsi="Calibri" w:cs="Calibri"/>
        </w:rPr>
        <w:t>the due diligence</w:t>
      </w:r>
      <w:r>
        <w:rPr>
          <w:rFonts w:ascii="Calibri" w:hAnsi="Calibri" w:cs="Calibri"/>
        </w:rPr>
        <w:t xml:space="preserve"> can be found on the Company’s website at </w:t>
      </w:r>
      <w:hyperlink r:id="rId6" w:history="1">
        <w:r w:rsidR="005748C8" w:rsidRPr="001E1A6C">
          <w:rPr>
            <w:rStyle w:val="Hyperlink"/>
            <w:rFonts w:ascii="Calibri" w:hAnsi="Calibri" w:cs="Calibri"/>
          </w:rPr>
          <w:t>www.hipgnosissongs.com/song-in</w:t>
        </w:r>
        <w:r w:rsidR="005748C8" w:rsidRPr="001E1A6C">
          <w:rPr>
            <w:rStyle w:val="Hyperlink"/>
            <w:rFonts w:ascii="Calibri" w:hAnsi="Calibri" w:cs="Calibri"/>
          </w:rPr>
          <w:t>v</w:t>
        </w:r>
        <w:r w:rsidR="005748C8" w:rsidRPr="001E1A6C">
          <w:rPr>
            <w:rStyle w:val="Hyperlink"/>
            <w:rFonts w:ascii="Calibri" w:hAnsi="Calibri" w:cs="Calibri"/>
          </w:rPr>
          <w:t>estors/</w:t>
        </w:r>
      </w:hyperlink>
      <w:r>
        <w:rPr>
          <w:rFonts w:ascii="Calibri" w:hAnsi="Calibri" w:cs="Calibri"/>
        </w:rPr>
        <w:t>.</w:t>
      </w:r>
      <w:r w:rsidR="00275EDB">
        <w:rPr>
          <w:rFonts w:ascii="Calibri" w:hAnsi="Calibri" w:cs="Calibri"/>
        </w:rPr>
        <w:t xml:space="preserve"> Shot Tower’s </w:t>
      </w:r>
      <w:r w:rsidR="00B27361">
        <w:rPr>
          <w:rFonts w:ascii="Calibri" w:hAnsi="Calibri" w:cs="Calibri"/>
        </w:rPr>
        <w:t xml:space="preserve">report </w:t>
      </w:r>
      <w:r w:rsidR="00275EDB">
        <w:rPr>
          <w:rFonts w:ascii="Calibri" w:hAnsi="Calibri" w:cs="Calibri"/>
        </w:rPr>
        <w:t>contains references to separate legal and financial due diligence reports completed by Reed Smith LLP and BDO USA, P.A., respectively.</w:t>
      </w:r>
    </w:p>
    <w:p w14:paraId="60C893F6" w14:textId="122236AA" w:rsidR="00000851" w:rsidRDefault="003914EF" w:rsidP="00732F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46F0E">
        <w:rPr>
          <w:rFonts w:ascii="Calibri" w:hAnsi="Calibri" w:cs="Calibri"/>
        </w:rPr>
        <w:t xml:space="preserve">he Board </w:t>
      </w:r>
      <w:r w:rsidR="000A1B5F">
        <w:rPr>
          <w:rFonts w:ascii="Calibri" w:hAnsi="Calibri" w:cs="Calibri"/>
        </w:rPr>
        <w:t>with its</w:t>
      </w:r>
      <w:r w:rsidR="00046F0E">
        <w:rPr>
          <w:rFonts w:ascii="Calibri" w:hAnsi="Calibri" w:cs="Calibri"/>
        </w:rPr>
        <w:t xml:space="preserve"> advisers </w:t>
      </w:r>
      <w:r w:rsidR="008F60F6">
        <w:rPr>
          <w:rFonts w:ascii="Calibri" w:hAnsi="Calibri" w:cs="Calibri"/>
        </w:rPr>
        <w:t>continues to assess</w:t>
      </w:r>
      <w:r w:rsidR="00046F0E">
        <w:rPr>
          <w:rFonts w:ascii="Calibri" w:hAnsi="Calibri" w:cs="Calibri"/>
        </w:rPr>
        <w:t xml:space="preserve"> all options</w:t>
      </w:r>
      <w:r w:rsidR="00732F6A">
        <w:rPr>
          <w:rFonts w:ascii="Calibri" w:hAnsi="Calibri" w:cs="Calibri"/>
        </w:rPr>
        <w:t xml:space="preserve"> for the future of the </w:t>
      </w:r>
      <w:r w:rsidR="00C76D2E">
        <w:rPr>
          <w:rFonts w:ascii="Calibri" w:hAnsi="Calibri" w:cs="Calibri"/>
        </w:rPr>
        <w:t>Company.</w:t>
      </w:r>
      <w:r w:rsidR="00046F0E">
        <w:rPr>
          <w:rFonts w:ascii="Calibri" w:hAnsi="Calibri" w:cs="Calibri"/>
        </w:rPr>
        <w:t xml:space="preserve"> </w:t>
      </w:r>
      <w:r w:rsidR="008F60F6">
        <w:rPr>
          <w:rFonts w:ascii="Calibri" w:hAnsi="Calibri" w:cs="Calibri"/>
        </w:rPr>
        <w:t>The Board will</w:t>
      </w:r>
      <w:r w:rsidR="00DC10F7">
        <w:rPr>
          <w:rFonts w:ascii="Calibri" w:hAnsi="Calibri" w:cs="Calibri"/>
        </w:rPr>
        <w:t xml:space="preserve"> announce </w:t>
      </w:r>
      <w:r w:rsidR="00F604D9">
        <w:rPr>
          <w:rFonts w:ascii="Calibri" w:hAnsi="Calibri" w:cs="Calibri"/>
        </w:rPr>
        <w:t xml:space="preserve">the </w:t>
      </w:r>
      <w:r w:rsidR="008F60F6">
        <w:rPr>
          <w:rFonts w:ascii="Calibri" w:hAnsi="Calibri" w:cs="Calibri"/>
        </w:rPr>
        <w:t>conclusion</w:t>
      </w:r>
      <w:r w:rsidR="00F604D9">
        <w:rPr>
          <w:rFonts w:ascii="Calibri" w:hAnsi="Calibri" w:cs="Calibri"/>
        </w:rPr>
        <w:t>s</w:t>
      </w:r>
      <w:r w:rsidR="008F60F6">
        <w:rPr>
          <w:rFonts w:ascii="Calibri" w:hAnsi="Calibri" w:cs="Calibri"/>
        </w:rPr>
        <w:t xml:space="preserve"> of the Strategic Review, which will include </w:t>
      </w:r>
      <w:r w:rsidR="00ED1734" w:rsidRPr="00ED1734">
        <w:rPr>
          <w:rFonts w:ascii="Calibri" w:hAnsi="Calibri" w:cs="Calibri"/>
        </w:rPr>
        <w:t xml:space="preserve">proposals for the </w:t>
      </w:r>
      <w:r w:rsidR="00DC10F7">
        <w:rPr>
          <w:rFonts w:ascii="Calibri" w:hAnsi="Calibri" w:cs="Calibri"/>
        </w:rPr>
        <w:t>future of the Company</w:t>
      </w:r>
      <w:r w:rsidR="008F60F6">
        <w:rPr>
          <w:rFonts w:ascii="Calibri" w:hAnsi="Calibri" w:cs="Calibri"/>
        </w:rPr>
        <w:t>,</w:t>
      </w:r>
      <w:r w:rsidR="00DC10F7">
        <w:rPr>
          <w:rFonts w:ascii="Calibri" w:hAnsi="Calibri" w:cs="Calibri"/>
        </w:rPr>
        <w:t xml:space="preserve"> </w:t>
      </w:r>
      <w:r w:rsidR="00E26180">
        <w:rPr>
          <w:rFonts w:ascii="Calibri" w:hAnsi="Calibri" w:cs="Calibri"/>
        </w:rPr>
        <w:t>by</w:t>
      </w:r>
      <w:r w:rsidR="00DC10F7">
        <w:rPr>
          <w:rFonts w:ascii="Calibri" w:hAnsi="Calibri" w:cs="Calibri"/>
        </w:rPr>
        <w:t xml:space="preserve"> 26 April 2024</w:t>
      </w:r>
      <w:r w:rsidR="008F60F6">
        <w:rPr>
          <w:rFonts w:ascii="Calibri" w:hAnsi="Calibri" w:cs="Calibri"/>
        </w:rPr>
        <w:t xml:space="preserve">. The Board </w:t>
      </w:r>
      <w:r w:rsidR="005B48BD">
        <w:rPr>
          <w:rFonts w:ascii="Calibri" w:hAnsi="Calibri" w:cs="Calibri"/>
        </w:rPr>
        <w:t>intends</w:t>
      </w:r>
      <w:r w:rsidR="008F60F6">
        <w:rPr>
          <w:rFonts w:ascii="Calibri" w:hAnsi="Calibri" w:cs="Calibri"/>
        </w:rPr>
        <w:t xml:space="preserve"> </w:t>
      </w:r>
      <w:r w:rsidR="0051512E">
        <w:rPr>
          <w:rFonts w:ascii="Calibri" w:hAnsi="Calibri" w:cs="Calibri"/>
        </w:rPr>
        <w:t xml:space="preserve">to seek shareholder approval for such proposals </w:t>
      </w:r>
      <w:bookmarkEnd w:id="0"/>
      <w:r w:rsidR="0051512E">
        <w:rPr>
          <w:rFonts w:ascii="Calibri" w:hAnsi="Calibri" w:cs="Calibri"/>
        </w:rPr>
        <w:t>at</w:t>
      </w:r>
      <w:r w:rsidR="00DC10F7">
        <w:rPr>
          <w:rFonts w:ascii="Calibri" w:hAnsi="Calibri" w:cs="Calibri"/>
        </w:rPr>
        <w:t xml:space="preserve"> an extraordinary general meeting</w:t>
      </w:r>
      <w:r w:rsidR="0051512E">
        <w:rPr>
          <w:rFonts w:ascii="Calibri" w:hAnsi="Calibri" w:cs="Calibri"/>
        </w:rPr>
        <w:t xml:space="preserve"> as soon as practicable thereafter</w:t>
      </w:r>
      <w:r w:rsidR="00ED1734">
        <w:rPr>
          <w:rFonts w:ascii="Calibri" w:hAnsi="Calibri" w:cs="Calibri"/>
        </w:rPr>
        <w:t>.</w:t>
      </w:r>
    </w:p>
    <w:p w14:paraId="4A47F672" w14:textId="77777777" w:rsidR="003C375D" w:rsidRDefault="003C375D" w:rsidP="00732F6A">
      <w:pPr>
        <w:jc w:val="both"/>
        <w:rPr>
          <w:rFonts w:ascii="Calibri" w:hAnsi="Calibri" w:cs="Calibri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2719"/>
      </w:tblGrid>
      <w:tr w:rsidR="003C375D" w:rsidRPr="00121952" w14:paraId="36FFBF5D" w14:textId="77777777" w:rsidTr="0083530B">
        <w:trPr>
          <w:trHeight w:val="468"/>
        </w:trPr>
        <w:tc>
          <w:tcPr>
            <w:tcW w:w="6096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5A11606A" w14:textId="77777777" w:rsidR="003C375D" w:rsidRPr="00121952" w:rsidRDefault="003C375D" w:rsidP="0083530B">
            <w:pPr>
              <w:spacing w:after="0" w:line="20" w:lineRule="atLeast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For further information please contact:</w:t>
            </w:r>
          </w:p>
          <w:p w14:paraId="67ACA64F" w14:textId="77777777" w:rsidR="003C375D" w:rsidRPr="00121952" w:rsidRDefault="003C375D" w:rsidP="0083530B">
            <w:pPr>
              <w:spacing w:after="0" w:line="20" w:lineRule="atLeast"/>
              <w:rPr>
                <w:rFonts w:ascii="Calibri" w:hAnsi="Calibri" w:cs="Calibri"/>
                <w:b/>
                <w:bCs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br/>
            </w:r>
            <w:r w:rsidRPr="00121952">
              <w:rPr>
                <w:rFonts w:ascii="Calibri" w:hAnsi="Calibri" w:cs="Calibri"/>
                <w:b/>
                <w:bCs/>
                <w:color w:val="212721"/>
              </w:rPr>
              <w:t>Hipgnosis Songs Fund</w:t>
            </w:r>
          </w:p>
          <w:p w14:paraId="657522CD" w14:textId="77777777" w:rsidR="003C375D" w:rsidRPr="00121952" w:rsidRDefault="003C375D" w:rsidP="0083530B">
            <w:pPr>
              <w:spacing w:after="0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 xml:space="preserve">Robert Naylor </w:t>
            </w:r>
          </w:p>
          <w:p w14:paraId="59C50736" w14:textId="77777777" w:rsidR="003C375D" w:rsidRPr="00121952" w:rsidRDefault="003C375D" w:rsidP="0083530B">
            <w:pPr>
              <w:spacing w:after="0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Via Singer Capital Markets</w:t>
            </w:r>
          </w:p>
          <w:p w14:paraId="76B27C4E" w14:textId="77777777" w:rsidR="003C375D" w:rsidRPr="00121952" w:rsidRDefault="003C375D" w:rsidP="0083530B">
            <w:pPr>
              <w:spacing w:after="0"/>
              <w:rPr>
                <w:rFonts w:ascii="Calibri" w:hAnsi="Calibri" w:cs="Calibri"/>
                <w:color w:val="212721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A66F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  <w:p w14:paraId="1598D1F5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</w:tc>
        <w:tc>
          <w:tcPr>
            <w:tcW w:w="2719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22BB717B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  <w:p w14:paraId="0BFD4E7C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  <w:p w14:paraId="0FB89383" w14:textId="77777777" w:rsidR="003C375D" w:rsidRPr="00121952" w:rsidRDefault="003C375D" w:rsidP="0083530B">
            <w:pPr>
              <w:spacing w:after="0" w:line="20" w:lineRule="atLeast"/>
              <w:jc w:val="both"/>
            </w:pPr>
            <w:r w:rsidRPr="00121952">
              <w:rPr>
                <w:rFonts w:ascii="Calibri" w:hAnsi="Calibri" w:cs="Calibri"/>
                <w:color w:val="212721"/>
              </w:rPr>
              <w:t>+44 (0) 20 7496 3000</w:t>
            </w:r>
          </w:p>
        </w:tc>
      </w:tr>
      <w:tr w:rsidR="003C375D" w:rsidRPr="00121952" w14:paraId="7025926A" w14:textId="77777777" w:rsidTr="0083530B">
        <w:trPr>
          <w:trHeight w:val="794"/>
        </w:trPr>
        <w:tc>
          <w:tcPr>
            <w:tcW w:w="6096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0C5D2429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b/>
                <w:bCs/>
                <w:color w:val="212721"/>
              </w:rPr>
            </w:pPr>
            <w:r w:rsidRPr="00121952">
              <w:rPr>
                <w:rFonts w:ascii="Calibri" w:hAnsi="Calibri" w:cs="Calibri"/>
                <w:b/>
                <w:bCs/>
                <w:color w:val="212721"/>
              </w:rPr>
              <w:t>Singer Capital Markets - Corporate Broker</w:t>
            </w:r>
          </w:p>
          <w:p w14:paraId="6C40F669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James Moat / Alaina Wong / Angus Campbell (Corporate Finance)</w:t>
            </w:r>
          </w:p>
          <w:p w14:paraId="1339F8DB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Alan Geeves / James Waterlow / Sam Greatrex (Sales)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B3D0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</w:tc>
        <w:tc>
          <w:tcPr>
            <w:tcW w:w="2719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2C5B0CA1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  <w:p w14:paraId="3C003CB4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+44 (0) 20 7496 3000</w:t>
            </w:r>
          </w:p>
        </w:tc>
      </w:tr>
      <w:tr w:rsidR="003C375D" w:rsidRPr="00121952" w14:paraId="68845ADF" w14:textId="77777777" w:rsidTr="0083530B">
        <w:trPr>
          <w:trHeight w:val="794"/>
        </w:trPr>
        <w:tc>
          <w:tcPr>
            <w:tcW w:w="6096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6C6EE238" w14:textId="77777777" w:rsidR="003C375D" w:rsidRPr="00121952" w:rsidRDefault="003C375D" w:rsidP="0083530B">
            <w:pPr>
              <w:pStyle w:val="eu"/>
              <w:spacing w:before="0" w:beforeAutospacing="0" w:after="0" w:afterAutospacing="0" w:line="20" w:lineRule="atLeast"/>
              <w:jc w:val="both"/>
              <w:rPr>
                <w:rFonts w:ascii="Calibri" w:eastAsiaTheme="minorHAnsi" w:hAnsi="Calibri" w:cs="Calibri"/>
                <w:b/>
                <w:bCs/>
                <w:color w:val="212721"/>
                <w:sz w:val="22"/>
                <w:szCs w:val="22"/>
                <w:lang w:eastAsia="en-US"/>
              </w:rPr>
            </w:pPr>
            <w:r w:rsidRPr="00121952">
              <w:rPr>
                <w:rFonts w:ascii="Calibri" w:eastAsiaTheme="minorHAnsi" w:hAnsi="Calibri" w:cs="Calibri"/>
                <w:b/>
                <w:bCs/>
                <w:color w:val="212721"/>
                <w:sz w:val="22"/>
                <w:szCs w:val="22"/>
                <w:lang w:eastAsia="en-US"/>
              </w:rPr>
              <w:t xml:space="preserve">Headland Consultancy - Financial PR </w:t>
            </w:r>
          </w:p>
          <w:p w14:paraId="74E965F7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Susanna Voyle / Charlie Twigg</w:t>
            </w:r>
          </w:p>
          <w:p w14:paraId="38F9BD07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789A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</w:tc>
        <w:tc>
          <w:tcPr>
            <w:tcW w:w="2719" w:type="dxa"/>
            <w:shd w:val="clear" w:color="auto" w:fill="FFFFFF"/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1B809B97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  <w:r w:rsidRPr="00121952">
              <w:rPr>
                <w:rFonts w:ascii="Calibri" w:hAnsi="Calibri" w:cs="Calibri"/>
                <w:color w:val="212721"/>
              </w:rPr>
              <w:t>+44 (0) 20 3805 4822</w:t>
            </w:r>
          </w:p>
          <w:p w14:paraId="2FDDBC0F" w14:textId="77777777" w:rsidR="003C375D" w:rsidRPr="00121952" w:rsidRDefault="003C375D" w:rsidP="0083530B">
            <w:pPr>
              <w:spacing w:after="0" w:line="20" w:lineRule="atLeast"/>
              <w:jc w:val="both"/>
              <w:rPr>
                <w:rFonts w:ascii="Calibri" w:hAnsi="Calibri" w:cs="Calibri"/>
                <w:color w:val="212721"/>
              </w:rPr>
            </w:pPr>
          </w:p>
        </w:tc>
      </w:tr>
    </w:tbl>
    <w:p w14:paraId="655A7397" w14:textId="2CA6EF4F" w:rsidR="003C375D" w:rsidRPr="00ED1734" w:rsidRDefault="003C375D" w:rsidP="00732F6A">
      <w:pPr>
        <w:jc w:val="both"/>
        <w:rPr>
          <w:rFonts w:ascii="Calibri" w:hAnsi="Calibri" w:cs="Calibri"/>
        </w:rPr>
      </w:pPr>
      <w:r w:rsidRPr="00F27E9D">
        <w:rPr>
          <w:rFonts w:ascii="Calibri" w:hAnsi="Calibri" w:cs="Calibri"/>
          <w:i/>
          <w:iCs/>
        </w:rPr>
        <w:t>This announcement contains inside information for the purposes of the UK Market Abuse Regulation.</w:t>
      </w:r>
    </w:p>
    <w:sectPr w:rsidR="003C375D" w:rsidRPr="00ED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AAD"/>
    <w:multiLevelType w:val="hybridMultilevel"/>
    <w:tmpl w:val="57828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6824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A76CD"/>
    <w:rsid w:val="00000851"/>
    <w:rsid w:val="00046F0E"/>
    <w:rsid w:val="000A1B5F"/>
    <w:rsid w:val="000D5A6E"/>
    <w:rsid w:val="00155E48"/>
    <w:rsid w:val="001631CB"/>
    <w:rsid w:val="0019523D"/>
    <w:rsid w:val="001B10FC"/>
    <w:rsid w:val="001D0914"/>
    <w:rsid w:val="001D74A7"/>
    <w:rsid w:val="001F75FF"/>
    <w:rsid w:val="00266D16"/>
    <w:rsid w:val="00275EDB"/>
    <w:rsid w:val="00284BD6"/>
    <w:rsid w:val="0029323A"/>
    <w:rsid w:val="002F04CC"/>
    <w:rsid w:val="0037009C"/>
    <w:rsid w:val="00372C36"/>
    <w:rsid w:val="003914EF"/>
    <w:rsid w:val="003A63EA"/>
    <w:rsid w:val="003B793A"/>
    <w:rsid w:val="003C375D"/>
    <w:rsid w:val="003C606E"/>
    <w:rsid w:val="004022DE"/>
    <w:rsid w:val="00451843"/>
    <w:rsid w:val="00480AE1"/>
    <w:rsid w:val="00481369"/>
    <w:rsid w:val="004C46D1"/>
    <w:rsid w:val="004C4983"/>
    <w:rsid w:val="004D4836"/>
    <w:rsid w:val="0051512E"/>
    <w:rsid w:val="005157E4"/>
    <w:rsid w:val="00541A08"/>
    <w:rsid w:val="00572935"/>
    <w:rsid w:val="0057349F"/>
    <w:rsid w:val="005748C8"/>
    <w:rsid w:val="0058020E"/>
    <w:rsid w:val="00596EB8"/>
    <w:rsid w:val="005B48BD"/>
    <w:rsid w:val="005C54C7"/>
    <w:rsid w:val="005E2756"/>
    <w:rsid w:val="006364C2"/>
    <w:rsid w:val="006F7F56"/>
    <w:rsid w:val="00732F6A"/>
    <w:rsid w:val="00746BB0"/>
    <w:rsid w:val="007B70FA"/>
    <w:rsid w:val="008635DF"/>
    <w:rsid w:val="00875AFE"/>
    <w:rsid w:val="008803DD"/>
    <w:rsid w:val="008E2C26"/>
    <w:rsid w:val="008F60F6"/>
    <w:rsid w:val="00907540"/>
    <w:rsid w:val="009724AD"/>
    <w:rsid w:val="00976F08"/>
    <w:rsid w:val="00990DDB"/>
    <w:rsid w:val="00990EB8"/>
    <w:rsid w:val="009922D6"/>
    <w:rsid w:val="009A1314"/>
    <w:rsid w:val="009A76CD"/>
    <w:rsid w:val="009E016F"/>
    <w:rsid w:val="009E3F09"/>
    <w:rsid w:val="00A13B3F"/>
    <w:rsid w:val="00A26197"/>
    <w:rsid w:val="00A32B23"/>
    <w:rsid w:val="00A470B2"/>
    <w:rsid w:val="00AA182B"/>
    <w:rsid w:val="00B27361"/>
    <w:rsid w:val="00BA3356"/>
    <w:rsid w:val="00BF5FDC"/>
    <w:rsid w:val="00C336F3"/>
    <w:rsid w:val="00C72875"/>
    <w:rsid w:val="00C76D2E"/>
    <w:rsid w:val="00C8035C"/>
    <w:rsid w:val="00D40A70"/>
    <w:rsid w:val="00D519E1"/>
    <w:rsid w:val="00DC10F7"/>
    <w:rsid w:val="00DF1769"/>
    <w:rsid w:val="00E24130"/>
    <w:rsid w:val="00E26180"/>
    <w:rsid w:val="00E44A06"/>
    <w:rsid w:val="00E75DE0"/>
    <w:rsid w:val="00E80C6B"/>
    <w:rsid w:val="00ED1734"/>
    <w:rsid w:val="00F01708"/>
    <w:rsid w:val="00F03553"/>
    <w:rsid w:val="00F228F1"/>
    <w:rsid w:val="00F4396D"/>
    <w:rsid w:val="00F604D9"/>
    <w:rsid w:val="00F75DAC"/>
    <w:rsid w:val="00F76102"/>
    <w:rsid w:val="00F83431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11AD"/>
  <w15:chartTrackingRefBased/>
  <w15:docId w15:val="{436CCFE5-9052-4777-BFF5-B0F5710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9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D66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93A"/>
    <w:rPr>
      <w:rFonts w:asciiTheme="majorHAnsi" w:eastAsiaTheme="majorEastAsia" w:hAnsiTheme="majorHAnsi" w:cstheme="majorBidi"/>
      <w:color w:val="2ED668" w:themeColor="accent1" w:themeShade="BF"/>
      <w:sz w:val="32"/>
      <w:szCs w:val="32"/>
    </w:rPr>
  </w:style>
  <w:style w:type="paragraph" w:customStyle="1" w:styleId="bo">
    <w:name w:val="bo"/>
    <w:basedOn w:val="Normal"/>
    <w:rsid w:val="009A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s">
    <w:name w:val="bs"/>
    <w:basedOn w:val="Normal"/>
    <w:rsid w:val="009A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m">
    <w:name w:val="bm"/>
    <w:basedOn w:val="DefaultParagraphFont"/>
    <w:rsid w:val="009A76CD"/>
  </w:style>
  <w:style w:type="character" w:customStyle="1" w:styleId="bt">
    <w:name w:val="bt"/>
    <w:basedOn w:val="DefaultParagraphFont"/>
    <w:rsid w:val="009A76CD"/>
  </w:style>
  <w:style w:type="paragraph" w:styleId="ListParagraph">
    <w:name w:val="List Paragraph"/>
    <w:basedOn w:val="Normal"/>
    <w:uiPriority w:val="34"/>
    <w:qFormat/>
    <w:rsid w:val="009A76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843"/>
    <w:rPr>
      <w:b/>
      <w:bCs/>
      <w:sz w:val="20"/>
      <w:szCs w:val="20"/>
    </w:rPr>
  </w:style>
  <w:style w:type="paragraph" w:customStyle="1" w:styleId="eu">
    <w:name w:val="eu"/>
    <w:basedOn w:val="Normal"/>
    <w:rsid w:val="003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90D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8C8"/>
    <w:rPr>
      <w:color w:val="14CA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8C8"/>
    <w:rPr>
      <w:color w:val="00451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pgnosissongs.com/song-investors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Singercm">
  <a:themeElements>
    <a:clrScheme name="Singer Capital Markets">
      <a:dk1>
        <a:srgbClr val="004513"/>
      </a:dk1>
      <a:lt1>
        <a:srgbClr val="057C35"/>
      </a:lt1>
      <a:dk2>
        <a:srgbClr val="13B455"/>
      </a:dk2>
      <a:lt2>
        <a:srgbClr val="14CA5E"/>
      </a:lt2>
      <a:accent1>
        <a:srgbClr val="78E59E"/>
      </a:accent1>
      <a:accent2>
        <a:srgbClr val="E8BB8F"/>
      </a:accent2>
      <a:accent3>
        <a:srgbClr val="F5AB29"/>
      </a:accent3>
      <a:accent4>
        <a:srgbClr val="F75C52"/>
      </a:accent4>
      <a:accent5>
        <a:srgbClr val="1F8F87"/>
      </a:accent5>
      <a:accent6>
        <a:srgbClr val="B8240D"/>
      </a:accent6>
      <a:hlink>
        <a:srgbClr val="14CA5E"/>
      </a:hlink>
      <a:folHlink>
        <a:srgbClr val="004513"/>
      </a:folHlink>
    </a:clrScheme>
    <a:fontScheme name="Singer Capital Markets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D37A924A894FBE4B5336E4573D25" ma:contentTypeVersion="14" ma:contentTypeDescription="Create a new document." ma:contentTypeScope="" ma:versionID="34809690374613ea4919f9657f4795f4">
  <xsd:schema xmlns:xsd="http://www.w3.org/2001/XMLSchema" xmlns:xs="http://www.w3.org/2001/XMLSchema" xmlns:p="http://schemas.microsoft.com/office/2006/metadata/properties" xmlns:ns2="21335768-97c8-4ef8-83bd-f61753aec169" xmlns:ns3="16b1ed03-e7a7-4e10-80a3-4c64f8f6c55c" targetNamespace="http://schemas.microsoft.com/office/2006/metadata/properties" ma:root="true" ma:fieldsID="cf07c6fac37d5b722ea14a256f704b65" ns2:_="" ns3:_="">
    <xsd:import namespace="21335768-97c8-4ef8-83bd-f61753aec169"/>
    <xsd:import namespace="16b1ed03-e7a7-4e10-80a3-4c64f8f6c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5768-97c8-4ef8-83bd-f61753aec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f86c217-5b8f-4eaa-97ed-940cb98f8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1ed03-e7a7-4e10-80a3-4c64f8f6c5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56460b-f46b-43a4-bd47-47b4fcada94b}" ma:internalName="TaxCatchAll" ma:showField="CatchAllData" ma:web="16b1ed03-e7a7-4e10-80a3-4c64f8f6c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D9C44-A514-4B9D-8021-06CCF7E24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B3F27-0605-42D1-8922-477BDAC9D729}"/>
</file>

<file path=customXml/itemProps3.xml><?xml version="1.0" encoding="utf-8"?>
<ds:datastoreItem xmlns:ds="http://schemas.openxmlformats.org/officeDocument/2006/customXml" ds:itemID="{928ED82C-CC89-4667-A08F-B7D621140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Campbell</dc:creator>
  <cp:keywords/>
  <dc:description/>
  <cp:lastModifiedBy>James Moat</cp:lastModifiedBy>
  <cp:revision>3</cp:revision>
  <dcterms:created xsi:type="dcterms:W3CDTF">2024-03-28T06:22:00Z</dcterms:created>
  <dcterms:modified xsi:type="dcterms:W3CDTF">2024-03-28T06:24:00Z</dcterms:modified>
</cp:coreProperties>
</file>